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43A18" w:rsidRDefault="00656B7C">
      <w:pPr>
        <w:spacing w:after="40"/>
        <w:rPr>
          <w:rFonts w:ascii="Roboto" w:eastAsia="Roboto" w:hAnsi="Roboto" w:cs="Roboto"/>
          <w:sz w:val="27"/>
          <w:szCs w:val="27"/>
        </w:rPr>
      </w:pPr>
      <w:r>
        <w:rPr>
          <w:rFonts w:ascii="Roboto" w:eastAsia="Roboto" w:hAnsi="Roboto" w:cs="Roboto"/>
          <w:sz w:val="27"/>
          <w:szCs w:val="27"/>
        </w:rPr>
        <w:t>April 7, 2023</w:t>
      </w:r>
    </w:p>
    <w:p w14:paraId="00000002" w14:textId="77777777" w:rsidR="00D43A18" w:rsidRDefault="00656B7C">
      <w:pPr>
        <w:spacing w:after="40"/>
        <w:rPr>
          <w:rFonts w:ascii="Roboto" w:eastAsia="Roboto" w:hAnsi="Roboto" w:cs="Roboto"/>
          <w:sz w:val="27"/>
          <w:szCs w:val="27"/>
        </w:rPr>
      </w:pPr>
      <w:r>
        <w:rPr>
          <w:rFonts w:ascii="Roboto" w:eastAsia="Roboto" w:hAnsi="Roboto" w:cs="Roboto"/>
          <w:sz w:val="27"/>
          <w:szCs w:val="27"/>
        </w:rPr>
        <w:t xml:space="preserve"> </w:t>
      </w:r>
    </w:p>
    <w:p w14:paraId="00000003" w14:textId="77777777" w:rsidR="00D43A18" w:rsidRDefault="00656B7C">
      <w:pPr>
        <w:spacing w:after="40"/>
        <w:rPr>
          <w:rFonts w:ascii="Roboto" w:eastAsia="Roboto" w:hAnsi="Roboto" w:cs="Roboto"/>
          <w:sz w:val="27"/>
          <w:szCs w:val="27"/>
        </w:rPr>
      </w:pPr>
      <w:r>
        <w:rPr>
          <w:rFonts w:ascii="Roboto" w:eastAsia="Roboto" w:hAnsi="Roboto" w:cs="Roboto"/>
          <w:sz w:val="27"/>
          <w:szCs w:val="27"/>
        </w:rPr>
        <w:t xml:space="preserve">Stephanie </w:t>
      </w:r>
      <w:proofErr w:type="spellStart"/>
      <w:r>
        <w:rPr>
          <w:rFonts w:ascii="Roboto" w:eastAsia="Roboto" w:hAnsi="Roboto" w:cs="Roboto"/>
          <w:sz w:val="27"/>
          <w:szCs w:val="27"/>
        </w:rPr>
        <w:t>Villinski</w:t>
      </w:r>
      <w:proofErr w:type="spellEnd"/>
      <w:r>
        <w:rPr>
          <w:rFonts w:ascii="Roboto" w:eastAsia="Roboto" w:hAnsi="Roboto" w:cs="Roboto"/>
          <w:sz w:val="27"/>
          <w:szCs w:val="27"/>
        </w:rPr>
        <w:t>, Chair</w:t>
      </w:r>
    </w:p>
    <w:p w14:paraId="00000004" w14:textId="77777777" w:rsidR="00D43A18" w:rsidRDefault="00656B7C">
      <w:pPr>
        <w:spacing w:after="40"/>
        <w:rPr>
          <w:rFonts w:ascii="Roboto" w:eastAsia="Roboto" w:hAnsi="Roboto" w:cs="Roboto"/>
          <w:sz w:val="27"/>
          <w:szCs w:val="27"/>
        </w:rPr>
      </w:pPr>
      <w:r>
        <w:rPr>
          <w:rFonts w:ascii="Roboto" w:eastAsia="Roboto" w:hAnsi="Roboto" w:cs="Roboto"/>
          <w:sz w:val="27"/>
          <w:szCs w:val="27"/>
        </w:rPr>
        <w:t xml:space="preserve">American Bar Association </w:t>
      </w:r>
    </w:p>
    <w:p w14:paraId="00000005" w14:textId="77777777" w:rsidR="00D43A18" w:rsidRDefault="00656B7C">
      <w:pPr>
        <w:spacing w:after="40"/>
        <w:rPr>
          <w:rFonts w:ascii="Roboto" w:eastAsia="Roboto" w:hAnsi="Roboto" w:cs="Roboto"/>
          <w:sz w:val="27"/>
          <w:szCs w:val="27"/>
        </w:rPr>
      </w:pPr>
      <w:r>
        <w:rPr>
          <w:rFonts w:ascii="Roboto" w:eastAsia="Roboto" w:hAnsi="Roboto" w:cs="Roboto"/>
          <w:sz w:val="27"/>
          <w:szCs w:val="27"/>
        </w:rPr>
        <w:t>Standing Committee on Professionalism</w:t>
      </w:r>
    </w:p>
    <w:p w14:paraId="00000006" w14:textId="77777777" w:rsidR="00D43A18" w:rsidRDefault="00D43A18">
      <w:pPr>
        <w:spacing w:after="40"/>
        <w:rPr>
          <w:rFonts w:ascii="Roboto" w:eastAsia="Roboto" w:hAnsi="Roboto" w:cs="Roboto"/>
          <w:sz w:val="27"/>
          <w:szCs w:val="27"/>
        </w:rPr>
      </w:pPr>
    </w:p>
    <w:p w14:paraId="00000007" w14:textId="77777777" w:rsidR="00D43A18" w:rsidRDefault="00656B7C">
      <w:pPr>
        <w:spacing w:after="40"/>
        <w:rPr>
          <w:rFonts w:ascii="Roboto" w:eastAsia="Roboto" w:hAnsi="Roboto" w:cs="Roboto"/>
          <w:sz w:val="27"/>
          <w:szCs w:val="27"/>
        </w:rPr>
      </w:pPr>
      <w:r>
        <w:rPr>
          <w:rFonts w:ascii="Roboto" w:eastAsia="Roboto" w:hAnsi="Roboto" w:cs="Roboto"/>
          <w:sz w:val="27"/>
          <w:szCs w:val="27"/>
        </w:rPr>
        <w:t>Tish Vincent, Chair</w:t>
      </w:r>
    </w:p>
    <w:p w14:paraId="00000008" w14:textId="77777777" w:rsidR="00D43A18" w:rsidRDefault="00656B7C">
      <w:pPr>
        <w:spacing w:after="40"/>
        <w:rPr>
          <w:rFonts w:ascii="Roboto" w:eastAsia="Roboto" w:hAnsi="Roboto" w:cs="Roboto"/>
          <w:sz w:val="27"/>
          <w:szCs w:val="27"/>
        </w:rPr>
      </w:pPr>
      <w:r>
        <w:rPr>
          <w:rFonts w:ascii="Roboto" w:eastAsia="Roboto" w:hAnsi="Roboto" w:cs="Roboto"/>
          <w:sz w:val="27"/>
          <w:szCs w:val="27"/>
        </w:rPr>
        <w:t xml:space="preserve">American Bar Association </w:t>
      </w:r>
    </w:p>
    <w:p w14:paraId="00000009" w14:textId="77777777" w:rsidR="00D43A18" w:rsidRDefault="00656B7C">
      <w:pPr>
        <w:spacing w:after="40"/>
        <w:rPr>
          <w:rFonts w:ascii="Roboto" w:eastAsia="Roboto" w:hAnsi="Roboto" w:cs="Roboto"/>
          <w:sz w:val="27"/>
          <w:szCs w:val="27"/>
        </w:rPr>
      </w:pPr>
      <w:r>
        <w:rPr>
          <w:rFonts w:ascii="Roboto" w:eastAsia="Roboto" w:hAnsi="Roboto" w:cs="Roboto"/>
          <w:sz w:val="27"/>
          <w:szCs w:val="27"/>
        </w:rPr>
        <w:t>Commission on Lawyer Assistance Programs</w:t>
      </w:r>
    </w:p>
    <w:p w14:paraId="0000000A" w14:textId="77777777" w:rsidR="00D43A18" w:rsidRDefault="00D43A18">
      <w:pPr>
        <w:spacing w:after="40"/>
        <w:rPr>
          <w:rFonts w:ascii="Roboto" w:eastAsia="Roboto" w:hAnsi="Roboto" w:cs="Roboto"/>
          <w:sz w:val="27"/>
          <w:szCs w:val="27"/>
        </w:rPr>
      </w:pPr>
    </w:p>
    <w:p w14:paraId="0000000B" w14:textId="77777777" w:rsidR="00D43A18" w:rsidRDefault="00656B7C">
      <w:pPr>
        <w:spacing w:after="40"/>
        <w:rPr>
          <w:rFonts w:ascii="Roboto" w:eastAsia="Roboto" w:hAnsi="Roboto" w:cs="Roboto"/>
          <w:sz w:val="27"/>
          <w:szCs w:val="27"/>
        </w:rPr>
      </w:pPr>
      <w:r>
        <w:rPr>
          <w:rFonts w:ascii="Roboto" w:eastAsia="Roboto" w:hAnsi="Roboto" w:cs="Roboto"/>
          <w:sz w:val="27"/>
          <w:szCs w:val="27"/>
        </w:rPr>
        <w:t>Christine Anderson, Chair</w:t>
      </w:r>
    </w:p>
    <w:p w14:paraId="0000000C" w14:textId="77777777" w:rsidR="00D43A18" w:rsidRDefault="00656B7C">
      <w:pPr>
        <w:spacing w:after="40"/>
        <w:rPr>
          <w:rFonts w:ascii="Roboto" w:eastAsia="Roboto" w:hAnsi="Roboto" w:cs="Roboto"/>
          <w:sz w:val="27"/>
          <w:szCs w:val="27"/>
        </w:rPr>
      </w:pPr>
      <w:r>
        <w:rPr>
          <w:rFonts w:ascii="Roboto" w:eastAsia="Roboto" w:hAnsi="Roboto" w:cs="Roboto"/>
          <w:sz w:val="27"/>
          <w:szCs w:val="27"/>
        </w:rPr>
        <w:t xml:space="preserve">American Bar Association </w:t>
      </w:r>
    </w:p>
    <w:p w14:paraId="0000000D" w14:textId="77777777" w:rsidR="00D43A18" w:rsidRDefault="00656B7C">
      <w:pPr>
        <w:spacing w:after="40"/>
        <w:rPr>
          <w:rFonts w:ascii="Roboto" w:eastAsia="Roboto" w:hAnsi="Roboto" w:cs="Roboto"/>
          <w:sz w:val="27"/>
          <w:szCs w:val="27"/>
        </w:rPr>
      </w:pPr>
      <w:r>
        <w:rPr>
          <w:rFonts w:ascii="Roboto" w:eastAsia="Roboto" w:hAnsi="Roboto" w:cs="Roboto"/>
          <w:sz w:val="27"/>
          <w:szCs w:val="27"/>
        </w:rPr>
        <w:t xml:space="preserve">Model Rule 1.1 Working Group </w:t>
      </w:r>
    </w:p>
    <w:p w14:paraId="0000000E" w14:textId="77777777" w:rsidR="00D43A18" w:rsidRDefault="00D43A18">
      <w:pPr>
        <w:spacing w:after="40"/>
        <w:rPr>
          <w:rFonts w:ascii="Roboto" w:eastAsia="Roboto" w:hAnsi="Roboto" w:cs="Roboto"/>
          <w:sz w:val="27"/>
          <w:szCs w:val="27"/>
        </w:rPr>
      </w:pPr>
    </w:p>
    <w:p w14:paraId="0000000F" w14:textId="77777777" w:rsidR="00D43A18" w:rsidRDefault="00656B7C">
      <w:pPr>
        <w:spacing w:after="40"/>
        <w:rPr>
          <w:rFonts w:ascii="Roboto" w:eastAsia="Roboto" w:hAnsi="Roboto" w:cs="Roboto"/>
          <w:b/>
          <w:sz w:val="27"/>
          <w:szCs w:val="27"/>
        </w:rPr>
      </w:pPr>
      <w:r>
        <w:rPr>
          <w:rFonts w:ascii="Roboto" w:eastAsia="Roboto" w:hAnsi="Roboto" w:cs="Roboto"/>
          <w:b/>
          <w:sz w:val="27"/>
          <w:szCs w:val="27"/>
        </w:rPr>
        <w:t>Re:     For Comment: Discussion Draft of Possible Amendments to the Comments to Model Rule of Professional Conduct Concerning Lawyer Competence and Wellness</w:t>
      </w:r>
    </w:p>
    <w:p w14:paraId="00000010" w14:textId="77777777" w:rsidR="00D43A18" w:rsidRDefault="00D43A18"/>
    <w:p w14:paraId="00000011" w14:textId="77777777" w:rsidR="00D43A18" w:rsidRDefault="00D43A18"/>
    <w:p w14:paraId="00000012" w14:textId="77777777" w:rsidR="00D43A18" w:rsidRDefault="00656B7C">
      <w:pPr>
        <w:spacing w:after="40"/>
        <w:rPr>
          <w:sz w:val="28"/>
          <w:szCs w:val="28"/>
        </w:rPr>
      </w:pPr>
      <w:r>
        <w:rPr>
          <w:sz w:val="28"/>
          <w:szCs w:val="28"/>
        </w:rPr>
        <w:t>The National Disabled Legal Professional</w:t>
      </w:r>
      <w:r>
        <w:rPr>
          <w:sz w:val="28"/>
          <w:szCs w:val="28"/>
        </w:rPr>
        <w:t>s Association (NDLPA) is a national association of disabled lawyers, judges, policy experts, legislators, academics, and other legal workers, professionals, and organizers. NDPLA was founded in 2022 to organize and unify disabled legal professionals into a</w:t>
      </w:r>
      <w:r>
        <w:rPr>
          <w:sz w:val="28"/>
          <w:szCs w:val="28"/>
        </w:rPr>
        <w:t xml:space="preserve"> force for change, and to advocate for and empower disabled legal professionals. NDLPA’s vision includes a profession that is inclusive and accessible for disabled lawyers and legal professionals. NDLPA has a vested interest in ensuring the guiding princip</w:t>
      </w:r>
      <w:r>
        <w:rPr>
          <w:sz w:val="28"/>
          <w:szCs w:val="28"/>
        </w:rPr>
        <w:t xml:space="preserve">les, rules, and regulations of our profession reflect that possibility. </w:t>
      </w:r>
    </w:p>
    <w:p w14:paraId="00000013" w14:textId="77777777" w:rsidR="00D43A18" w:rsidRDefault="00D43A18">
      <w:pPr>
        <w:spacing w:after="40"/>
        <w:rPr>
          <w:sz w:val="28"/>
          <w:szCs w:val="28"/>
        </w:rPr>
      </w:pPr>
    </w:p>
    <w:p w14:paraId="00000014" w14:textId="77777777" w:rsidR="00D43A18" w:rsidRDefault="00656B7C">
      <w:pPr>
        <w:spacing w:after="40"/>
        <w:rPr>
          <w:sz w:val="28"/>
          <w:szCs w:val="28"/>
        </w:rPr>
      </w:pPr>
      <w:r>
        <w:rPr>
          <w:sz w:val="28"/>
          <w:szCs w:val="28"/>
        </w:rPr>
        <w:t>The American Bar Association’s (ABA) Model Rules of Professional Conduct provide a guide for states amending and enforcing their own rules, many of which are based on the Model Rules</w:t>
      </w:r>
      <w:r>
        <w:rPr>
          <w:sz w:val="28"/>
          <w:szCs w:val="28"/>
        </w:rPr>
        <w:t xml:space="preserve">. We are concerned that if the ABA adopts this proposal to amend Model Rule 1.1, not only will it reverse the, even minimal, progress the profession has made as a result of </w:t>
      </w:r>
      <w:r>
        <w:rPr>
          <w:sz w:val="28"/>
          <w:szCs w:val="28"/>
        </w:rPr>
        <w:lastRenderedPageBreak/>
        <w:t xml:space="preserve">disabled students and lawyers’ organizing efforts–it will result </w:t>
      </w:r>
      <w:proofErr w:type="gramStart"/>
      <w:r>
        <w:rPr>
          <w:sz w:val="28"/>
          <w:szCs w:val="28"/>
        </w:rPr>
        <w:t>in  states</w:t>
      </w:r>
      <w:proofErr w:type="gramEnd"/>
      <w:r>
        <w:rPr>
          <w:sz w:val="28"/>
          <w:szCs w:val="28"/>
        </w:rPr>
        <w:t xml:space="preserve"> adoptin</w:t>
      </w:r>
      <w:r>
        <w:rPr>
          <w:sz w:val="28"/>
          <w:szCs w:val="28"/>
        </w:rPr>
        <w:t xml:space="preserve">g a problematic rule with real and lasting consequences for disabled lawyers.  </w:t>
      </w:r>
    </w:p>
    <w:p w14:paraId="00000015" w14:textId="77777777" w:rsidR="00D43A18" w:rsidRDefault="00D43A18">
      <w:pPr>
        <w:spacing w:after="40"/>
        <w:rPr>
          <w:sz w:val="28"/>
          <w:szCs w:val="28"/>
        </w:rPr>
      </w:pPr>
    </w:p>
    <w:p w14:paraId="00000016" w14:textId="77777777" w:rsidR="00D43A18" w:rsidRDefault="00656B7C">
      <w:pPr>
        <w:spacing w:after="40"/>
        <w:rPr>
          <w:sz w:val="28"/>
          <w:szCs w:val="28"/>
        </w:rPr>
      </w:pPr>
      <w:r>
        <w:rPr>
          <w:sz w:val="28"/>
          <w:szCs w:val="28"/>
        </w:rPr>
        <w:t>Model Rule 1.1 focuses on lawyer competence and seeks to ensure that lawyers take on cases to which they can dedicate adequate time, on which they can receive appropriate assi</w:t>
      </w:r>
      <w:r>
        <w:rPr>
          <w:sz w:val="28"/>
          <w:szCs w:val="28"/>
        </w:rPr>
        <w:t>stance, and for which they have the requisite skills and knowledge. The proposed amendment adds an additional comment to the Model Rule:</w:t>
      </w:r>
    </w:p>
    <w:p w14:paraId="00000017" w14:textId="77777777" w:rsidR="00D43A18" w:rsidRDefault="00D43A18">
      <w:pPr>
        <w:spacing w:after="40"/>
        <w:rPr>
          <w:sz w:val="28"/>
          <w:szCs w:val="28"/>
        </w:rPr>
      </w:pPr>
    </w:p>
    <w:p w14:paraId="00000018" w14:textId="77777777" w:rsidR="00D43A18" w:rsidRDefault="00656B7C">
      <w:pPr>
        <w:spacing w:after="40"/>
        <w:ind w:left="720"/>
        <w:rPr>
          <w:sz w:val="28"/>
          <w:szCs w:val="28"/>
        </w:rPr>
      </w:pPr>
      <w:r>
        <w:rPr>
          <w:sz w:val="28"/>
          <w:szCs w:val="28"/>
        </w:rPr>
        <w:t>Lawyers should be aware that their mental, emotional, and physical well-being may impact their ability to represent cl</w:t>
      </w:r>
      <w:r>
        <w:rPr>
          <w:sz w:val="28"/>
          <w:szCs w:val="28"/>
        </w:rPr>
        <w:t>ients and, as such, is an important aspect of maintaining competence to practice law. Resources supporting lawyer wellbeing are available at: [inset name of the jurisdiction’s lawyer assistance program]. Other Rules that may be relevant include those addre</w:t>
      </w:r>
      <w:r>
        <w:rPr>
          <w:sz w:val="28"/>
          <w:szCs w:val="28"/>
        </w:rPr>
        <w:t xml:space="preserve">ssing declining or terminating representation, supervisory </w:t>
      </w:r>
      <w:proofErr w:type="gramStart"/>
      <w:r>
        <w:rPr>
          <w:sz w:val="28"/>
          <w:szCs w:val="28"/>
        </w:rPr>
        <w:t>duties</w:t>
      </w:r>
      <w:proofErr w:type="gramEnd"/>
      <w:r>
        <w:rPr>
          <w:sz w:val="28"/>
          <w:szCs w:val="28"/>
        </w:rPr>
        <w:t xml:space="preserve"> and reporting obligations. See Rules 1.16(a)(2), 5.1, 5.2, 5.3 and 8.3.</w:t>
      </w:r>
    </w:p>
    <w:p w14:paraId="00000019" w14:textId="77777777" w:rsidR="00D43A18" w:rsidRDefault="00D43A18">
      <w:pPr>
        <w:rPr>
          <w:sz w:val="28"/>
          <w:szCs w:val="28"/>
        </w:rPr>
      </w:pPr>
    </w:p>
    <w:p w14:paraId="0000001A" w14:textId="77777777" w:rsidR="00D43A18" w:rsidRDefault="00656B7C">
      <w:pPr>
        <w:rPr>
          <w:sz w:val="28"/>
          <w:szCs w:val="28"/>
        </w:rPr>
      </w:pPr>
      <w:proofErr w:type="gramStart"/>
      <w:r>
        <w:rPr>
          <w:sz w:val="28"/>
          <w:szCs w:val="28"/>
        </w:rPr>
        <w:t>This rule and its comments,</w:t>
      </w:r>
      <w:proofErr w:type="gramEnd"/>
      <w:r>
        <w:rPr>
          <w:sz w:val="28"/>
          <w:szCs w:val="28"/>
        </w:rPr>
        <w:t xml:space="preserve"> are important for making sure the public is protected from lawyers who do not have the ti</w:t>
      </w:r>
      <w:r>
        <w:rPr>
          <w:sz w:val="28"/>
          <w:szCs w:val="28"/>
        </w:rPr>
        <w:t xml:space="preserve">me, knowledge, or adequate skill set to commit to a matter–not simply from lawyers who are ill-intentioned. </w:t>
      </w:r>
    </w:p>
    <w:p w14:paraId="0000001B" w14:textId="77777777" w:rsidR="00D43A18" w:rsidRDefault="00D43A18">
      <w:pPr>
        <w:rPr>
          <w:sz w:val="28"/>
          <w:szCs w:val="28"/>
        </w:rPr>
      </w:pPr>
    </w:p>
    <w:p w14:paraId="0000001C" w14:textId="77777777" w:rsidR="00D43A18" w:rsidRDefault="00656B7C">
      <w:pPr>
        <w:rPr>
          <w:sz w:val="28"/>
          <w:szCs w:val="28"/>
          <w:highlight w:val="yellow"/>
        </w:rPr>
      </w:pPr>
      <w:r>
        <w:rPr>
          <w:sz w:val="28"/>
          <w:szCs w:val="28"/>
        </w:rPr>
        <w:t xml:space="preserve">We support these protections for the public and value the import of standards for competent representation. However, the ABA’s proposed amendment </w:t>
      </w:r>
      <w:r>
        <w:rPr>
          <w:sz w:val="28"/>
          <w:szCs w:val="28"/>
        </w:rPr>
        <w:t xml:space="preserve">is not based in professional realities. In general, data has shown that discipline tends to focus on older, more experienced male attorneys. In fact, the </w:t>
      </w:r>
      <w:hyperlink r:id="rId4">
        <w:r>
          <w:rPr>
            <w:color w:val="1155CC"/>
            <w:sz w:val="28"/>
            <w:szCs w:val="28"/>
            <w:u w:val="single"/>
          </w:rPr>
          <w:t>ABA’s website itself</w:t>
        </w:r>
      </w:hyperlink>
      <w:r>
        <w:rPr>
          <w:sz w:val="28"/>
          <w:szCs w:val="28"/>
        </w:rPr>
        <w:t>, acknowledges competence concerns do not account for a majority of ethical complaints against attorneys. And yet, puzzlingly, in the name of “competence,” in advancing this proposal, the ABA has stigmatized and u</w:t>
      </w:r>
      <w:r>
        <w:rPr>
          <w:sz w:val="28"/>
          <w:szCs w:val="28"/>
        </w:rPr>
        <w:t xml:space="preserve">nnecessarily threatened the licenses of disabled lawyers, many of whom are the </w:t>
      </w:r>
      <w:r>
        <w:rPr>
          <w:b/>
          <w:sz w:val="28"/>
          <w:szCs w:val="28"/>
          <w:u w:val="single"/>
        </w:rPr>
        <w:t>only</w:t>
      </w:r>
      <w:r>
        <w:rPr>
          <w:sz w:val="28"/>
          <w:szCs w:val="28"/>
        </w:rPr>
        <w:t xml:space="preserve"> lawyers who can and do provide competent, as well as culturally competent, representation </w:t>
      </w:r>
      <w:r>
        <w:rPr>
          <w:sz w:val="28"/>
          <w:szCs w:val="28"/>
        </w:rPr>
        <w:lastRenderedPageBreak/>
        <w:t>to disabled clients. If the ABA were truly concerned about attorney well-being, it</w:t>
      </w:r>
      <w:r>
        <w:rPr>
          <w:sz w:val="28"/>
          <w:szCs w:val="28"/>
        </w:rPr>
        <w:t xml:space="preserve"> would put a more concerted effort into addressing the true culprit of competence concerns we have, personally, witnessed in our own practice: placing profit above clients and lawyers’ wellbeing. Instead, the ABA continuously fails to address systemic abus</w:t>
      </w:r>
      <w:r>
        <w:rPr>
          <w:sz w:val="28"/>
          <w:szCs w:val="28"/>
        </w:rPr>
        <w:t xml:space="preserve">es and aligns itself with firms, businesses, and organizations that corrode the wellbeing of all lawyers–particularly disabled lawyers– which ultimately harms clients and diminishes public trust in the legal profession.  </w:t>
      </w:r>
    </w:p>
    <w:p w14:paraId="0000001D" w14:textId="77777777" w:rsidR="00D43A18" w:rsidRDefault="00D43A18">
      <w:pPr>
        <w:rPr>
          <w:sz w:val="28"/>
          <w:szCs w:val="28"/>
        </w:rPr>
      </w:pPr>
    </w:p>
    <w:p w14:paraId="0000001E" w14:textId="77777777" w:rsidR="00D43A18" w:rsidRDefault="00656B7C">
      <w:pPr>
        <w:rPr>
          <w:sz w:val="28"/>
          <w:szCs w:val="28"/>
        </w:rPr>
      </w:pPr>
      <w:r>
        <w:rPr>
          <w:sz w:val="28"/>
          <w:szCs w:val="28"/>
        </w:rPr>
        <w:t>The barriers that exist for disabled lawyers to receive a license are formidable and result in our severe underrepresentation in the profession. According to 2022 National Association for Law Placement data, less than 1.5 percent of all attorneys in law fi</w:t>
      </w:r>
      <w:r>
        <w:rPr>
          <w:sz w:val="28"/>
          <w:szCs w:val="28"/>
        </w:rPr>
        <w:t>rms and offices that reported data identified as disabled. The last ABA statistics report on disabled lawyers, dated 2011 and inexcusably outdated, indicates that 6.97 percent of its members identified as disabled. Individuals begin experiencing pipeline b</w:t>
      </w:r>
      <w:r>
        <w:rPr>
          <w:sz w:val="28"/>
          <w:szCs w:val="28"/>
        </w:rPr>
        <w:t>arriers pre-law school, which persist through law school, the bar examination, and the character and fitness process. Many states still ask overly invasive and unnecessary questions about mental and physical health and well-being. Once barred, finding empl</w:t>
      </w:r>
      <w:r>
        <w:rPr>
          <w:sz w:val="28"/>
          <w:szCs w:val="28"/>
        </w:rPr>
        <w:t>oyers who truly provide full access and inclusion is an even greater challenge, largely because of the profession’s flawed priorities and entrenched stigma against disabled attorneys. Due to this stigma and fear of retaliatory conduct, once employed, indiv</w:t>
      </w:r>
      <w:r>
        <w:rPr>
          <w:sz w:val="28"/>
          <w:szCs w:val="28"/>
        </w:rPr>
        <w:t>iduals with disabilities may be reluctant to disclose their disabilities. As a result, they often do not receive the accommodations or support that may benefit their practice. The barriers surrounding disclosure and discouraging access to resources are con</w:t>
      </w:r>
      <w:r>
        <w:rPr>
          <w:sz w:val="28"/>
          <w:szCs w:val="28"/>
        </w:rPr>
        <w:t xml:space="preserve">tinuously reinforced by institutional stakeholders throughout the profession; </w:t>
      </w:r>
      <w:proofErr w:type="gramStart"/>
      <w:r>
        <w:rPr>
          <w:sz w:val="28"/>
          <w:szCs w:val="28"/>
        </w:rPr>
        <w:t>yet,</w:t>
      </w:r>
      <w:proofErr w:type="gramEnd"/>
      <w:r>
        <w:rPr>
          <w:sz w:val="28"/>
          <w:szCs w:val="28"/>
        </w:rPr>
        <w:t xml:space="preserve"> the ABA’s proposal inappropriately places the burden of addressing these issues solely on individual practitioners. </w:t>
      </w:r>
    </w:p>
    <w:p w14:paraId="0000001F" w14:textId="77777777" w:rsidR="00D43A18" w:rsidRDefault="00D43A18">
      <w:pPr>
        <w:rPr>
          <w:sz w:val="28"/>
          <w:szCs w:val="28"/>
        </w:rPr>
      </w:pPr>
    </w:p>
    <w:p w14:paraId="00000020" w14:textId="77777777" w:rsidR="00D43A18" w:rsidRDefault="00656B7C">
      <w:pPr>
        <w:rPr>
          <w:sz w:val="28"/>
          <w:szCs w:val="28"/>
        </w:rPr>
      </w:pPr>
      <w:r>
        <w:rPr>
          <w:sz w:val="28"/>
          <w:szCs w:val="28"/>
        </w:rPr>
        <w:t>Specifically, the Discussion Draft Resolution and Repor</w:t>
      </w:r>
      <w:r>
        <w:rPr>
          <w:sz w:val="28"/>
          <w:szCs w:val="28"/>
        </w:rPr>
        <w:t xml:space="preserve">t states, “[M]any legal professionals who need help or know of colleagues who need help do not access the resources available through state and national bar associations and lawyer assistance programs due to stigma, shame, and </w:t>
      </w:r>
      <w:r>
        <w:rPr>
          <w:sz w:val="28"/>
          <w:szCs w:val="28"/>
        </w:rPr>
        <w:lastRenderedPageBreak/>
        <w:t>fear.” However, these are not</w:t>
      </w:r>
      <w:r>
        <w:rPr>
          <w:sz w:val="28"/>
          <w:szCs w:val="28"/>
        </w:rPr>
        <w:t xml:space="preserve"> the only barriers. While the rule cites to jurisdictional lawyer assistance programs (“LAP”) as a resource, the quality of LAPs </w:t>
      </w:r>
      <w:proofErr w:type="gramStart"/>
      <w:r>
        <w:rPr>
          <w:sz w:val="28"/>
          <w:szCs w:val="28"/>
        </w:rPr>
        <w:t>is  inconsistent</w:t>
      </w:r>
      <w:proofErr w:type="gramEnd"/>
      <w:r>
        <w:rPr>
          <w:sz w:val="28"/>
          <w:szCs w:val="28"/>
        </w:rPr>
        <w:t xml:space="preserve"> and, in our experience, practitioners maintain well founded concerns </w:t>
      </w:r>
      <w:proofErr w:type="spellStart"/>
      <w:r>
        <w:rPr>
          <w:sz w:val="28"/>
          <w:szCs w:val="28"/>
        </w:rPr>
        <w:t>LAPs’</w:t>
      </w:r>
      <w:proofErr w:type="spellEnd"/>
      <w:r>
        <w:rPr>
          <w:sz w:val="28"/>
          <w:szCs w:val="28"/>
        </w:rPr>
        <w:t xml:space="preserve"> true commitment to privacy, particu</w:t>
      </w:r>
      <w:r>
        <w:rPr>
          <w:sz w:val="28"/>
          <w:szCs w:val="28"/>
        </w:rPr>
        <w:t xml:space="preserve">larly given the persecutory rhetoric that LAPs have historically utilized and discrimination faced within the profession. Access to affordable, reliable, and confidential resources is critical. </w:t>
      </w:r>
    </w:p>
    <w:p w14:paraId="00000021" w14:textId="77777777" w:rsidR="00D43A18" w:rsidRDefault="00D43A18">
      <w:pPr>
        <w:rPr>
          <w:sz w:val="28"/>
          <w:szCs w:val="28"/>
        </w:rPr>
      </w:pPr>
    </w:p>
    <w:p w14:paraId="00000022" w14:textId="77777777" w:rsidR="00D43A18" w:rsidRDefault="00656B7C">
      <w:pPr>
        <w:rPr>
          <w:sz w:val="28"/>
          <w:szCs w:val="28"/>
        </w:rPr>
      </w:pPr>
      <w:r>
        <w:rPr>
          <w:sz w:val="28"/>
          <w:szCs w:val="28"/>
        </w:rPr>
        <w:t>The Discussion Draft Resolution and Report also notes that t</w:t>
      </w:r>
      <w:r>
        <w:rPr>
          <w:sz w:val="28"/>
          <w:szCs w:val="28"/>
        </w:rPr>
        <w:t>he goal of this comment proposal is to remove the stigma from seeking assistance and discussing mental health and well-being. However, this is not the way to do so. It would simply instill fear in disabled lawyers who may be concerned about disability disc</w:t>
      </w:r>
      <w:r>
        <w:rPr>
          <w:sz w:val="28"/>
          <w:szCs w:val="28"/>
        </w:rPr>
        <w:t xml:space="preserve">losure leading to an ethical complaint. Disability disclosure, however, is a critical and required piece of any workplace accommodation process. For those whose disabilities are readily apparent regardless of disclosure, additional concerns follow. </w:t>
      </w:r>
    </w:p>
    <w:p w14:paraId="00000023" w14:textId="77777777" w:rsidR="00D43A18" w:rsidRDefault="00D43A18">
      <w:pPr>
        <w:rPr>
          <w:sz w:val="28"/>
          <w:szCs w:val="28"/>
          <w:highlight w:val="yellow"/>
        </w:rPr>
      </w:pPr>
    </w:p>
    <w:p w14:paraId="00000024" w14:textId="77777777" w:rsidR="00D43A18" w:rsidRDefault="00656B7C">
      <w:pPr>
        <w:rPr>
          <w:sz w:val="28"/>
          <w:szCs w:val="28"/>
        </w:rPr>
      </w:pPr>
      <w:r>
        <w:rPr>
          <w:sz w:val="28"/>
          <w:szCs w:val="28"/>
        </w:rPr>
        <w:t>The D</w:t>
      </w:r>
      <w:r>
        <w:rPr>
          <w:sz w:val="28"/>
          <w:szCs w:val="28"/>
        </w:rPr>
        <w:t>iscussion Draft Resolution and Report further notes, “The proposal to add new Comment [9] to Model Rule 1.1 does not add any new obligations on lawyers - instead, it explains the nexus between competence and well-being.” If, in fact, no new obligations are</w:t>
      </w:r>
      <w:r>
        <w:rPr>
          <w:sz w:val="28"/>
          <w:szCs w:val="28"/>
        </w:rPr>
        <w:t xml:space="preserve"> added, we wonder why this particularly stigmatizing comment is necessary at all. It does not explain a nexus that no one is aware of, nor does it do so in a way that is anti-ableist, free of stigma, or encouraging. The reason for any barrier to performanc</w:t>
      </w:r>
      <w:r>
        <w:rPr>
          <w:sz w:val="28"/>
          <w:szCs w:val="28"/>
        </w:rPr>
        <w:t>e, time commitment, or thoroughness is irrelevant, but so long as those key requirements are met, a lawyer is considered competent. While planning a wedding, losing a loved one, or preparing to move can affect competence, there are, of course, no rules wri</w:t>
      </w:r>
      <w:r>
        <w:rPr>
          <w:sz w:val="28"/>
          <w:szCs w:val="28"/>
        </w:rPr>
        <w:t xml:space="preserve">tten about those life events or concerns. This comment, instead, specifically targets disabled lawyers. </w:t>
      </w:r>
    </w:p>
    <w:p w14:paraId="00000025" w14:textId="77777777" w:rsidR="00D43A18" w:rsidRDefault="00D43A18">
      <w:pPr>
        <w:rPr>
          <w:sz w:val="28"/>
          <w:szCs w:val="28"/>
        </w:rPr>
      </w:pPr>
    </w:p>
    <w:p w14:paraId="00000026" w14:textId="77777777" w:rsidR="00D43A18" w:rsidRDefault="00656B7C">
      <w:r>
        <w:rPr>
          <w:sz w:val="28"/>
          <w:szCs w:val="28"/>
        </w:rPr>
        <w:t>Implicit, and even explicit, bias shapes the way individuals view disabled people already. Even when our skills and knowledge are equivalent if not superior to our non-disabled peers, we are often viewed as less competent. This is the case for so many marg</w:t>
      </w:r>
      <w:r>
        <w:rPr>
          <w:sz w:val="28"/>
          <w:szCs w:val="28"/>
        </w:rPr>
        <w:t xml:space="preserve">inalized </w:t>
      </w:r>
      <w:proofErr w:type="gramStart"/>
      <w:r>
        <w:rPr>
          <w:sz w:val="28"/>
          <w:szCs w:val="28"/>
        </w:rPr>
        <w:t>people, and</w:t>
      </w:r>
      <w:proofErr w:type="gramEnd"/>
      <w:r>
        <w:rPr>
          <w:sz w:val="28"/>
          <w:szCs w:val="28"/>
        </w:rPr>
        <w:t xml:space="preserve"> is particularly pronounced for multi-marginalized disabled attorneys. This proposed </w:t>
      </w:r>
      <w:r>
        <w:rPr>
          <w:sz w:val="28"/>
          <w:szCs w:val="28"/>
        </w:rPr>
        <w:lastRenderedPageBreak/>
        <w:t>comment simply adds fuel to these prejudices and inaccurate viewpoints that people with mental, physical, and other disabilities are incapable of carry</w:t>
      </w:r>
      <w:r>
        <w:rPr>
          <w:sz w:val="28"/>
          <w:szCs w:val="28"/>
        </w:rPr>
        <w:t xml:space="preserve">ing out their jobs as attorneys in a competent matter. </w:t>
      </w:r>
    </w:p>
    <w:p w14:paraId="00000027" w14:textId="77777777" w:rsidR="00D43A18" w:rsidRDefault="00D43A18">
      <w:pPr>
        <w:rPr>
          <w:sz w:val="28"/>
          <w:szCs w:val="28"/>
        </w:rPr>
      </w:pPr>
    </w:p>
    <w:p w14:paraId="00000028" w14:textId="77777777" w:rsidR="00D43A18" w:rsidRDefault="00656B7C">
      <w:pPr>
        <w:rPr>
          <w:sz w:val="28"/>
          <w:szCs w:val="28"/>
        </w:rPr>
      </w:pPr>
      <w:r>
        <w:rPr>
          <w:sz w:val="28"/>
          <w:szCs w:val="28"/>
        </w:rPr>
        <w:t>The cover memorandum for the amendment states that the ABA’s proposal of this amendment was “complex” and involved “many stakeholders.” However, as the foremost organizations representing the interes</w:t>
      </w:r>
      <w:r>
        <w:rPr>
          <w:sz w:val="28"/>
          <w:szCs w:val="28"/>
        </w:rPr>
        <w:t>ts of disabled legal attorneys and law students, neither the National Disabled Legal Professionals Association, nor, to our knowledge, the National Disabled Law Students Association, were consulted. We, as disabled members of the legal profession, are cons</w:t>
      </w:r>
      <w:r>
        <w:rPr>
          <w:sz w:val="28"/>
          <w:szCs w:val="28"/>
        </w:rPr>
        <w:t>istently excluded from conversations about policies that directly affect us. The ABA has established a troubling and familiar pattern of relying on our labor, experiences, and connections while continuing to exclude us from these important conversations. W</w:t>
      </w:r>
      <w:r>
        <w:rPr>
          <w:sz w:val="28"/>
          <w:szCs w:val="28"/>
        </w:rPr>
        <w:t>e hope that, in the future, the ABA will consult disabled people affected by policies that may affect and harm them.</w:t>
      </w:r>
    </w:p>
    <w:p w14:paraId="00000029" w14:textId="77777777" w:rsidR="00D43A18" w:rsidRDefault="00D43A18">
      <w:pPr>
        <w:rPr>
          <w:sz w:val="28"/>
          <w:szCs w:val="28"/>
        </w:rPr>
      </w:pPr>
    </w:p>
    <w:p w14:paraId="0000002A" w14:textId="77777777" w:rsidR="00D43A18" w:rsidRDefault="00656B7C">
      <w:pPr>
        <w:rPr>
          <w:sz w:val="28"/>
          <w:szCs w:val="28"/>
        </w:rPr>
      </w:pPr>
      <w:r>
        <w:rPr>
          <w:sz w:val="28"/>
          <w:szCs w:val="28"/>
        </w:rPr>
        <w:t xml:space="preserve">While we do not believe there is any language that can ensure this comment does not further harm and increase stigma surrounding disabled </w:t>
      </w:r>
      <w:r>
        <w:rPr>
          <w:sz w:val="28"/>
          <w:szCs w:val="28"/>
        </w:rPr>
        <w:t>lawyers, we are always open to working with the ABA to achieve its goals of eliminating stigma around discussions about mental health, stigma around seeking support and resources, and barriers that prevent lawyers from seeking support and resources. We sha</w:t>
      </w:r>
      <w:r>
        <w:rPr>
          <w:sz w:val="28"/>
          <w:szCs w:val="28"/>
        </w:rPr>
        <w:t xml:space="preserve">re these important goals; changing the nature of the legal profession to foster access and inclusion inherently includes these goals. </w:t>
      </w:r>
    </w:p>
    <w:p w14:paraId="0000002B" w14:textId="77777777" w:rsidR="00D43A18" w:rsidRDefault="00D43A18">
      <w:pPr>
        <w:rPr>
          <w:sz w:val="28"/>
          <w:szCs w:val="28"/>
        </w:rPr>
      </w:pPr>
    </w:p>
    <w:p w14:paraId="0000002C" w14:textId="77777777" w:rsidR="00D43A18" w:rsidRDefault="00656B7C">
      <w:pPr>
        <w:rPr>
          <w:sz w:val="28"/>
          <w:szCs w:val="28"/>
        </w:rPr>
      </w:pPr>
      <w:r>
        <w:rPr>
          <w:sz w:val="28"/>
          <w:szCs w:val="28"/>
        </w:rPr>
        <w:t>Disabled lawyers are a critical part of our profession. We bring valuable perspectives and creative solutions in all are</w:t>
      </w:r>
      <w:r>
        <w:rPr>
          <w:sz w:val="28"/>
          <w:szCs w:val="28"/>
        </w:rPr>
        <w:t xml:space="preserve">as of the law and, often </w:t>
      </w:r>
      <w:proofErr w:type="gramStart"/>
      <w:r>
        <w:rPr>
          <w:sz w:val="28"/>
          <w:szCs w:val="28"/>
        </w:rPr>
        <w:t>as a result of</w:t>
      </w:r>
      <w:proofErr w:type="gramEnd"/>
      <w:r>
        <w:rPr>
          <w:sz w:val="28"/>
          <w:szCs w:val="28"/>
        </w:rPr>
        <w:t xml:space="preserve"> our lived experience, provide culturally competent representation guided by empathy when working with disabled and marginalized clients. We should not have to be afraid to share who we are–not simply because we may n</w:t>
      </w:r>
      <w:r>
        <w:rPr>
          <w:sz w:val="28"/>
          <w:szCs w:val="28"/>
        </w:rPr>
        <w:t xml:space="preserve">eed accommodations in the workplace but also because it colors our perspective. </w:t>
      </w:r>
    </w:p>
    <w:p w14:paraId="0000002D" w14:textId="77777777" w:rsidR="00D43A18" w:rsidRDefault="00D43A18">
      <w:pPr>
        <w:rPr>
          <w:sz w:val="28"/>
          <w:szCs w:val="28"/>
        </w:rPr>
      </w:pPr>
    </w:p>
    <w:p w14:paraId="0000002E" w14:textId="14B0B6D2" w:rsidR="00D43A18" w:rsidRDefault="00656B7C">
      <w:pPr>
        <w:rPr>
          <w:sz w:val="28"/>
          <w:szCs w:val="28"/>
        </w:rPr>
      </w:pPr>
      <w:r>
        <w:rPr>
          <w:sz w:val="28"/>
          <w:szCs w:val="28"/>
        </w:rPr>
        <w:lastRenderedPageBreak/>
        <w:t xml:space="preserve">We urge the Committee and the Commission not to file this Resolution and Report with the House of Delegates for consideration at the 2023 ABA Annual Meeting. </w:t>
      </w:r>
    </w:p>
    <w:p w14:paraId="5A624977" w14:textId="77777777" w:rsidR="00656B7C" w:rsidRDefault="00656B7C">
      <w:pPr>
        <w:rPr>
          <w:sz w:val="28"/>
          <w:szCs w:val="28"/>
        </w:rPr>
      </w:pPr>
    </w:p>
    <w:p w14:paraId="66B5A956" w14:textId="622E36E9" w:rsidR="00656B7C" w:rsidRDefault="00656B7C">
      <w:pPr>
        <w:rPr>
          <w:sz w:val="28"/>
          <w:szCs w:val="28"/>
        </w:rPr>
      </w:pPr>
    </w:p>
    <w:p w14:paraId="21FD6D5A" w14:textId="1CE78980" w:rsidR="00656B7C" w:rsidRDefault="00656B7C">
      <w:pPr>
        <w:rPr>
          <w:sz w:val="28"/>
          <w:szCs w:val="28"/>
        </w:rPr>
      </w:pPr>
      <w:r>
        <w:rPr>
          <w:sz w:val="28"/>
          <w:szCs w:val="28"/>
        </w:rPr>
        <w:t>Sincerely,</w:t>
      </w:r>
    </w:p>
    <w:p w14:paraId="7992A3D3" w14:textId="09A3DBED" w:rsidR="00656B7C" w:rsidRDefault="00656B7C">
      <w:pPr>
        <w:rPr>
          <w:sz w:val="28"/>
          <w:szCs w:val="28"/>
        </w:rPr>
      </w:pPr>
    </w:p>
    <w:p w14:paraId="6E38D9C1" w14:textId="11841F48" w:rsidR="00656B7C" w:rsidRDefault="00656B7C">
      <w:pPr>
        <w:rPr>
          <w:sz w:val="28"/>
          <w:szCs w:val="28"/>
        </w:rPr>
      </w:pPr>
      <w:r>
        <w:rPr>
          <w:sz w:val="28"/>
          <w:szCs w:val="28"/>
        </w:rPr>
        <w:t>The National Disabled Legal Professionals Association Team</w:t>
      </w:r>
    </w:p>
    <w:p w14:paraId="0000002F" w14:textId="5977ABAA" w:rsidR="00D43A18" w:rsidRDefault="00D43A18"/>
    <w:p w14:paraId="5F0180C2" w14:textId="77777777" w:rsidR="00656B7C" w:rsidRDefault="00656B7C"/>
    <w:sectPr w:rsidR="00656B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18"/>
    <w:rsid w:val="005466C6"/>
    <w:rsid w:val="00656B7C"/>
    <w:rsid w:val="00D43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266A39"/>
  <w15:docId w15:val="{F0836F9B-FA73-EC4F-BD3A-639EF9F0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ericanbar.org/news/abanews/publications/youraba/2022/0307/protect-yourself-from-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Marissa Ditkowsky</cp:lastModifiedBy>
  <cp:revision>3</cp:revision>
  <dcterms:created xsi:type="dcterms:W3CDTF">2023-04-07T05:14:00Z</dcterms:created>
  <dcterms:modified xsi:type="dcterms:W3CDTF">2023-04-07T05:16:00Z</dcterms:modified>
</cp:coreProperties>
</file>